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850" w:h="14208" w:hRule="exact" w:wrap="none" w:vAnchor="page" w:hAnchor="page" w:x="1262" w:y="3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Памятка</w:t>
      </w:r>
    </w:p>
    <w:p>
      <w:pPr>
        <w:pStyle w:val="Style2"/>
        <w:keepNext w:val="0"/>
        <w:keepLines w:val="0"/>
        <w:framePr w:w="9850" w:h="14208" w:hRule="exact" w:wrap="none" w:vAnchor="page" w:hAnchor="page" w:x="1262" w:y="316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переходу на порядок расчетов, установленный для абонентов</w:t>
        <w:br/>
        <w:t>энергоснабжающих организаций, проживающих в жилых помещениях</w:t>
        <w:br/>
        <w:t>(квартирах) многоквартирных жилых домов, оборудованных в</w:t>
        <w:br/>
        <w:t>установленном порядке системами централизованного теплоснабжения</w:t>
        <w:br/>
        <w:t>на цели отопления и газоснабжения на цели пищеприготовления и не</w:t>
        <w:br/>
        <w:t>оборудованных в установленном порядке электрическими плитами,</w:t>
        <w:br/>
        <w:t>системами централизованного горячего водоснабжения и</w:t>
        <w:br/>
        <w:t>индивидуальными газовыми водонагревателями</w:t>
      </w:r>
    </w:p>
    <w:p>
      <w:pPr>
        <w:pStyle w:val="Style2"/>
        <w:keepNext w:val="0"/>
        <w:keepLines w:val="0"/>
        <w:framePr w:w="9850" w:h="14208" w:hRule="exact" w:wrap="none" w:vAnchor="page" w:hAnchor="page" w:x="1262" w:y="316"/>
        <w:widowControl w:val="0"/>
        <w:numPr>
          <w:ilvl w:val="0"/>
          <w:numId w:val="1"/>
        </w:numPr>
        <w:shd w:val="clear" w:color="auto" w:fill="auto"/>
        <w:tabs>
          <w:tab w:pos="1093" w:val="left"/>
        </w:tabs>
        <w:bidi w:val="0"/>
        <w:spacing w:before="0" w:after="0" w:line="240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Субсидируемые тарифы для оплаты за услуги электроснабжения в порядке, определенном в части первой пункта 44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утв. постановлением Совета Министров Республики Беларусь от 12 июня 2014г. №571 (далее Положение), с применением коэффициента 0,85 применяются при соблюдении следующих условий:</w:t>
      </w:r>
    </w:p>
    <w:p>
      <w:pPr>
        <w:pStyle w:val="Style2"/>
        <w:keepNext w:val="0"/>
        <w:keepLines w:val="0"/>
        <w:framePr w:w="9850" w:h="14208" w:hRule="exact" w:wrap="none" w:vAnchor="page" w:hAnchor="page" w:x="1262" w:y="316"/>
        <w:widowControl w:val="0"/>
        <w:numPr>
          <w:ilvl w:val="0"/>
          <w:numId w:val="3"/>
        </w:numPr>
        <w:shd w:val="clear" w:color="auto" w:fill="auto"/>
        <w:tabs>
          <w:tab w:pos="27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жилое помещение (квартира) многоквартирного жилого дома, оборудовано в установленном порядке системой централизованного теплоснабжения на цели отопления;</w:t>
      </w:r>
    </w:p>
    <w:p>
      <w:pPr>
        <w:pStyle w:val="Style2"/>
        <w:keepNext w:val="0"/>
        <w:keepLines w:val="0"/>
        <w:framePr w:w="9850" w:h="14208" w:hRule="exact" w:wrap="none" w:vAnchor="page" w:hAnchor="page" w:x="1262" w:y="316"/>
        <w:widowControl w:val="0"/>
        <w:numPr>
          <w:ilvl w:val="0"/>
          <w:numId w:val="3"/>
        </w:numPr>
        <w:shd w:val="clear" w:color="auto" w:fill="auto"/>
        <w:tabs>
          <w:tab w:pos="27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жилое помещение (квартира) многоквартирного жилого дома, оборудовано в установленном порядке системой газоснабжения на цели пищеприготовления;</w:t>
      </w:r>
    </w:p>
    <w:p>
      <w:pPr>
        <w:pStyle w:val="Style2"/>
        <w:keepNext w:val="0"/>
        <w:keepLines w:val="0"/>
        <w:framePr w:w="9850" w:h="14208" w:hRule="exact" w:wrap="none" w:vAnchor="page" w:hAnchor="page" w:x="1262" w:y="316"/>
        <w:widowControl w:val="0"/>
        <w:numPr>
          <w:ilvl w:val="0"/>
          <w:numId w:val="3"/>
        </w:numPr>
        <w:shd w:val="clear" w:color="auto" w:fill="auto"/>
        <w:tabs>
          <w:tab w:pos="27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жилое помещение (квартира) многоквартирного жилого дома, не оборудовано в установленном порядке электрической плитой;</w:t>
      </w:r>
    </w:p>
    <w:p>
      <w:pPr>
        <w:pStyle w:val="Style2"/>
        <w:keepNext w:val="0"/>
        <w:keepLines w:val="0"/>
        <w:framePr w:w="9850" w:h="14208" w:hRule="exact" w:wrap="none" w:vAnchor="page" w:hAnchor="page" w:x="1262" w:y="316"/>
        <w:widowControl w:val="0"/>
        <w:numPr>
          <w:ilvl w:val="0"/>
          <w:numId w:val="3"/>
        </w:numPr>
        <w:shd w:val="clear" w:color="auto" w:fill="auto"/>
        <w:tabs>
          <w:tab w:pos="27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жилое помещение (квартира) многоквартирного жилого дома, не оборудовано в установленном порядке системой централизованного горячего водоснабжения;</w:t>
      </w:r>
    </w:p>
    <w:p>
      <w:pPr>
        <w:pStyle w:val="Style2"/>
        <w:keepNext w:val="0"/>
        <w:keepLines w:val="0"/>
        <w:framePr w:w="9850" w:h="14208" w:hRule="exact" w:wrap="none" w:vAnchor="page" w:hAnchor="page" w:x="1262" w:y="316"/>
        <w:widowControl w:val="0"/>
        <w:numPr>
          <w:ilvl w:val="0"/>
          <w:numId w:val="3"/>
        </w:numPr>
        <w:shd w:val="clear" w:color="auto" w:fill="auto"/>
        <w:tabs>
          <w:tab w:pos="273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жилое помещение (квартира) многоквартирного жилого дома, не оборудовано в установленном порядке индивидуальным газовым водонагревателем.</w:t>
      </w:r>
    </w:p>
    <w:p>
      <w:pPr>
        <w:pStyle w:val="Style2"/>
        <w:keepNext w:val="0"/>
        <w:keepLines w:val="0"/>
        <w:framePr w:w="9850" w:h="14208" w:hRule="exact" w:wrap="none" w:vAnchor="page" w:hAnchor="page" w:x="1262" w:y="316"/>
        <w:widowControl w:val="0"/>
        <w:numPr>
          <w:ilvl w:val="0"/>
          <w:numId w:val="1"/>
        </w:numPr>
        <w:shd w:val="clear" w:color="auto" w:fill="auto"/>
        <w:tabs>
          <w:tab w:pos="1093" w:val="left"/>
        </w:tabs>
        <w:bidi w:val="0"/>
        <w:spacing w:before="0" w:line="240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Порядок расчетов с применением коэффициента 0,85 будет применен энергоснабжающей организацией по выявительному принципу в соответствии с информацией, представленной гор, - райисполкомами и по заявительному принципу - в случае обращения гражданина и наличия у него необходимых документов.</w:t>
      </w:r>
    </w:p>
    <w:p>
      <w:pPr>
        <w:pStyle w:val="Style2"/>
        <w:keepNext w:val="0"/>
        <w:keepLines w:val="0"/>
        <w:framePr w:w="9850" w:h="14208" w:hRule="exact" w:wrap="none" w:vAnchor="page" w:hAnchor="page" w:x="1262" w:y="316"/>
        <w:widowControl w:val="0"/>
        <w:numPr>
          <w:ilvl w:val="0"/>
          <w:numId w:val="1"/>
        </w:numPr>
        <w:shd w:val="clear" w:color="auto" w:fill="auto"/>
        <w:tabs>
          <w:tab w:pos="1093" w:val="left"/>
        </w:tabs>
        <w:bidi w:val="0"/>
        <w:spacing w:before="0" w:line="240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отсутствия в документах сведений, указанных в пункте 1 настоящей Памятки, гражданину необходимо обратиться в местный исполнительный орган власти для приведения документов в соответствие с действующим законодательством.</w:t>
      </w:r>
    </w:p>
    <w:p>
      <w:pPr>
        <w:pStyle w:val="Style2"/>
        <w:keepNext w:val="0"/>
        <w:keepLines w:val="0"/>
        <w:framePr w:w="9850" w:h="14208" w:hRule="exact" w:wrap="none" w:vAnchor="page" w:hAnchor="page" w:x="1262" w:y="316"/>
        <w:widowControl w:val="0"/>
        <w:numPr>
          <w:ilvl w:val="0"/>
          <w:numId w:val="1"/>
        </w:numPr>
        <w:shd w:val="clear" w:color="auto" w:fill="auto"/>
        <w:tabs>
          <w:tab w:pos="1093" w:val="left"/>
        </w:tabs>
        <w:bidi w:val="0"/>
        <w:spacing w:before="0" w:after="0" w:line="240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После получения документов, гражданин обращается в энергоснабжающую организацию по месту жительства для перехода на оплату за потребленную электроэнергию по субсидируемому тарифу с применением коэффициента 0,85.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after="320"/>
      <w:ind w:firstLine="2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