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79D" w:rsidRPr="005C1220" w:rsidRDefault="00BE079D" w:rsidP="00BE079D">
      <w:pPr>
        <w:jc w:val="center"/>
        <w:textAlignment w:val="top"/>
        <w:rPr>
          <w:b/>
          <w:color w:val="000000"/>
          <w:sz w:val="28"/>
          <w:szCs w:val="28"/>
        </w:rPr>
      </w:pPr>
      <w:proofErr w:type="gramStart"/>
      <w:r w:rsidRPr="005C1220">
        <w:rPr>
          <w:b/>
          <w:color w:val="000000"/>
          <w:sz w:val="28"/>
          <w:szCs w:val="28"/>
        </w:rPr>
        <w:t>Типичные нарушения, выявляемые у плательщиков обязательных страховых взносов при проведении проверок и контрольных мероприятий работниками Гродненского областного управления Фонда социальной защиты Министерства труда и социальной защиты населения Республики Беларусь во 2 полугодии 2023 года.</w:t>
      </w:r>
      <w:proofErr w:type="gramEnd"/>
    </w:p>
    <w:p w:rsidR="00BE079D" w:rsidRPr="005C1220" w:rsidRDefault="00BE079D" w:rsidP="00BE079D">
      <w:pPr>
        <w:jc w:val="center"/>
        <w:textAlignment w:val="top"/>
        <w:rPr>
          <w:b/>
          <w:color w:val="000000"/>
          <w:sz w:val="28"/>
          <w:szCs w:val="28"/>
        </w:rPr>
      </w:pPr>
    </w:p>
    <w:p w:rsidR="00BE079D" w:rsidRPr="005C1220" w:rsidRDefault="00BE079D" w:rsidP="00BE079D">
      <w:pPr>
        <w:jc w:val="center"/>
        <w:textAlignment w:val="top"/>
        <w:rPr>
          <w:i/>
          <w:sz w:val="28"/>
          <w:szCs w:val="28"/>
        </w:rPr>
      </w:pPr>
      <w:r w:rsidRPr="005C1220">
        <w:rPr>
          <w:i/>
          <w:sz w:val="28"/>
          <w:szCs w:val="28"/>
        </w:rPr>
        <w:t>Нарушения при уплате обязательных страховых взносов и (или)   взносов на профессиональное пенсионное страхование.</w:t>
      </w:r>
    </w:p>
    <w:p w:rsidR="00BE079D" w:rsidRPr="005C1220" w:rsidRDefault="00BE079D" w:rsidP="00BE079D">
      <w:pPr>
        <w:jc w:val="center"/>
        <w:textAlignment w:val="top"/>
        <w:rPr>
          <w:i/>
          <w:sz w:val="28"/>
          <w:szCs w:val="28"/>
          <w:u w:val="single"/>
        </w:rPr>
      </w:pPr>
    </w:p>
    <w:p w:rsidR="00BE079D" w:rsidRPr="005C1220" w:rsidRDefault="00BE079D" w:rsidP="00BE079D">
      <w:pPr>
        <w:ind w:firstLine="709"/>
        <w:jc w:val="both"/>
        <w:textAlignment w:val="top"/>
        <w:rPr>
          <w:sz w:val="28"/>
          <w:szCs w:val="28"/>
        </w:rPr>
      </w:pPr>
      <w:r w:rsidRPr="005C1220">
        <w:rPr>
          <w:i/>
          <w:sz w:val="28"/>
          <w:szCs w:val="28"/>
          <w:u w:val="single"/>
        </w:rPr>
        <w:t>Неуплата или н</w:t>
      </w:r>
      <w:r w:rsidRPr="005C1220">
        <w:rPr>
          <w:i/>
          <w:color w:val="000000"/>
          <w:sz w:val="28"/>
          <w:szCs w:val="28"/>
          <w:u w:val="single"/>
        </w:rPr>
        <w:t xml:space="preserve">еполная уплата </w:t>
      </w:r>
      <w:r w:rsidRPr="005C1220">
        <w:rPr>
          <w:i/>
          <w:sz w:val="28"/>
          <w:szCs w:val="28"/>
          <w:u w:val="single"/>
        </w:rPr>
        <w:t>в установленный срок обязательных страховых взносов и (или) взносов на профессиональное пенсионное страхование</w:t>
      </w:r>
      <w:r w:rsidRPr="005C1220">
        <w:rPr>
          <w:sz w:val="28"/>
          <w:szCs w:val="28"/>
          <w:u w:val="single"/>
        </w:rPr>
        <w:t>.</w:t>
      </w:r>
      <w:r w:rsidRPr="005C1220">
        <w:rPr>
          <w:sz w:val="28"/>
          <w:szCs w:val="28"/>
        </w:rPr>
        <w:t xml:space="preserve"> </w:t>
      </w:r>
    </w:p>
    <w:p w:rsidR="00BE079D" w:rsidRPr="005C1220" w:rsidRDefault="00BE079D" w:rsidP="00BE079D">
      <w:pPr>
        <w:jc w:val="both"/>
        <w:textAlignment w:val="top"/>
        <w:rPr>
          <w:sz w:val="28"/>
          <w:szCs w:val="28"/>
        </w:rPr>
      </w:pPr>
    </w:p>
    <w:p w:rsidR="00BE079D" w:rsidRPr="005C1220" w:rsidRDefault="00BE079D" w:rsidP="00BE079D">
      <w:pPr>
        <w:ind w:firstLine="709"/>
        <w:jc w:val="both"/>
        <w:textAlignment w:val="top"/>
        <w:rPr>
          <w:color w:val="000000"/>
          <w:sz w:val="28"/>
          <w:szCs w:val="28"/>
        </w:rPr>
      </w:pPr>
      <w:r w:rsidRPr="005C1220">
        <w:rPr>
          <w:sz w:val="28"/>
          <w:szCs w:val="28"/>
        </w:rPr>
        <w:t xml:space="preserve">Сроки уплаты и суммы обязательных страховых взносов и (или) взносов на профессиональное пенсионное страхование определены статьями 8 «Сроки уплаты взносов», 14 «Порядок перечисления взносов» Закона № 118-З. </w:t>
      </w:r>
      <w:r w:rsidRPr="005C1220">
        <w:rPr>
          <w:color w:val="000000"/>
          <w:sz w:val="28"/>
          <w:szCs w:val="28"/>
        </w:rPr>
        <w:t>Обязанность плательщика в полном объеме уплачивать страховые взносы и (или) взносы на профессиональное пенсионное страхование установлены статьей  21 «Обязанности плательщиков» Закона № 118-З.</w:t>
      </w:r>
    </w:p>
    <w:p w:rsidR="00BE079D" w:rsidRPr="005C1220" w:rsidRDefault="00BE079D" w:rsidP="00BE079D">
      <w:pPr>
        <w:ind w:firstLine="709"/>
        <w:jc w:val="both"/>
        <w:textAlignment w:val="top"/>
        <w:rPr>
          <w:sz w:val="28"/>
          <w:szCs w:val="28"/>
        </w:rPr>
      </w:pPr>
    </w:p>
    <w:p w:rsidR="00BE079D" w:rsidRPr="005C1220" w:rsidRDefault="00BE079D" w:rsidP="00BE079D">
      <w:pPr>
        <w:autoSpaceDE w:val="0"/>
        <w:autoSpaceDN w:val="0"/>
        <w:adjustRightInd w:val="0"/>
        <w:ind w:firstLine="540"/>
        <w:jc w:val="both"/>
        <w:rPr>
          <w:iCs/>
          <w:sz w:val="28"/>
          <w:szCs w:val="28"/>
        </w:rPr>
      </w:pPr>
      <w:proofErr w:type="gramStart"/>
      <w:r w:rsidRPr="005C1220">
        <w:rPr>
          <w:iCs/>
          <w:sz w:val="28"/>
          <w:szCs w:val="28"/>
        </w:rPr>
        <w:t>В соответствии со статьей 12.15 КоАП за неуплату или неполную уплату в установленный срок обязательных страховых взносов или взносов на профессиональное пенсионное страхование в бюджет государственного внебюджетного фонда социальной защиты населения Республики Беларусь плательщиками таких взносов за физических лиц на сумму более двадцати базовых величин, совершенные должностным или иным уполномоченным лицом плательщика из числа организаций (филиалов, представительств, обособленных подразделений) либо</w:t>
      </w:r>
      <w:proofErr w:type="gramEnd"/>
      <w:r w:rsidRPr="005C1220">
        <w:rPr>
          <w:iCs/>
          <w:sz w:val="28"/>
          <w:szCs w:val="28"/>
        </w:rPr>
        <w:t xml:space="preserve"> </w:t>
      </w:r>
      <w:proofErr w:type="gramStart"/>
      <w:r w:rsidRPr="005C1220">
        <w:rPr>
          <w:iCs/>
          <w:sz w:val="28"/>
          <w:szCs w:val="28"/>
        </w:rPr>
        <w:t>индивидуальным предпринимателем или иным физическим лицом, представляющими работу гражданам по трудовым и (или) гражданско-правовым договорам, влекут наложение штрафа в размере от двух до двадцати базовых величин.</w:t>
      </w:r>
      <w:proofErr w:type="gramEnd"/>
    </w:p>
    <w:p w:rsidR="00BE079D" w:rsidRPr="005C1220" w:rsidRDefault="00BE079D" w:rsidP="00BE079D">
      <w:pPr>
        <w:ind w:firstLine="709"/>
        <w:jc w:val="both"/>
        <w:textAlignment w:val="top"/>
        <w:rPr>
          <w:i/>
          <w:color w:val="000000"/>
          <w:sz w:val="28"/>
          <w:szCs w:val="28"/>
        </w:rPr>
      </w:pPr>
    </w:p>
    <w:p w:rsidR="00BE079D" w:rsidRPr="005C1220" w:rsidRDefault="00BE079D">
      <w:pPr>
        <w:spacing w:after="200" w:line="276" w:lineRule="auto"/>
        <w:rPr>
          <w:sz w:val="28"/>
          <w:szCs w:val="28"/>
        </w:rPr>
      </w:pPr>
      <w:bookmarkStart w:id="0" w:name="_GoBack"/>
      <w:bookmarkEnd w:id="0"/>
    </w:p>
    <w:sectPr w:rsidR="00BE079D" w:rsidRPr="005C12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79D"/>
    <w:rsid w:val="001724AC"/>
    <w:rsid w:val="005C1220"/>
    <w:rsid w:val="00BE079D"/>
    <w:rsid w:val="00DF5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7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7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25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Кашлявик Светлана Викторовна</dc:creator>
  <cp:lastModifiedBy>RIK</cp:lastModifiedBy>
  <cp:revision>2</cp:revision>
  <dcterms:created xsi:type="dcterms:W3CDTF">2024-03-14T07:16:00Z</dcterms:created>
  <dcterms:modified xsi:type="dcterms:W3CDTF">2024-03-14T07:16:00Z</dcterms:modified>
</cp:coreProperties>
</file>